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5D316" w14:textId="77777777" w:rsidR="001E65EB" w:rsidRDefault="001E65EB"/>
    <w:p w14:paraId="0D8FA173" w14:textId="77777777" w:rsidR="001E65EB" w:rsidRDefault="00607761">
      <w:pPr>
        <w:spacing w:after="60"/>
        <w:jc w:val="center"/>
        <w:rPr>
          <w:rFonts w:ascii="Arial" w:eastAsia="Arial" w:hAnsi="Arial" w:cs="Arial"/>
          <w:b/>
          <w:bCs/>
          <w:color w:val="C8962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6A7DAA9" wp14:editId="307C5259">
            <wp:simplePos x="0" y="0"/>
            <wp:positionH relativeFrom="column">
              <wp:posOffset>-494665</wp:posOffset>
            </wp:positionH>
            <wp:positionV relativeFrom="paragraph">
              <wp:posOffset>-236219</wp:posOffset>
            </wp:positionV>
            <wp:extent cx="2085975" cy="768350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76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C6FE8B7" wp14:editId="5C3F79CA">
            <wp:simplePos x="0" y="0"/>
            <wp:positionH relativeFrom="column">
              <wp:posOffset>1591945</wp:posOffset>
            </wp:positionH>
            <wp:positionV relativeFrom="paragraph">
              <wp:posOffset>-369569</wp:posOffset>
            </wp:positionV>
            <wp:extent cx="1943100" cy="102171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21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A3014E6" wp14:editId="719E7F36">
            <wp:simplePos x="0" y="0"/>
            <wp:positionH relativeFrom="column">
              <wp:posOffset>3677762</wp:posOffset>
            </wp:positionH>
            <wp:positionV relativeFrom="paragraph">
              <wp:posOffset>-279399</wp:posOffset>
            </wp:positionV>
            <wp:extent cx="1685925" cy="929618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29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8833BA4" wp14:editId="0D93FAB1">
            <wp:simplePos x="0" y="0"/>
            <wp:positionH relativeFrom="column">
              <wp:posOffset>5363210</wp:posOffset>
            </wp:positionH>
            <wp:positionV relativeFrom="paragraph">
              <wp:posOffset>-236219</wp:posOffset>
            </wp:positionV>
            <wp:extent cx="1088133" cy="769344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8133" cy="769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3183EE" w14:textId="77777777" w:rsidR="001E65EB" w:rsidRDefault="001E65EB">
      <w:pPr>
        <w:spacing w:after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9F226B" w14:textId="77777777" w:rsidR="001E65EB" w:rsidRDefault="001E65EB">
      <w:pPr>
        <w:spacing w:after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F83E5C" w14:textId="77777777" w:rsidR="001E65EB" w:rsidRDefault="001E65EB">
      <w:pPr>
        <w:spacing w:after="60"/>
        <w:rPr>
          <w:rFonts w:ascii="Arial" w:eastAsia="Arial" w:hAnsi="Arial" w:cs="Arial"/>
          <w:b/>
          <w:bCs/>
          <w:color w:val="C8962E"/>
          <w:sz w:val="20"/>
          <w:szCs w:val="20"/>
        </w:rPr>
      </w:pPr>
    </w:p>
    <w:p w14:paraId="0D7D20F3" w14:textId="77777777" w:rsidR="001E65EB" w:rsidRPr="008E3C43" w:rsidRDefault="00607761">
      <w:pPr>
        <w:spacing w:after="60"/>
        <w:jc w:val="center"/>
        <w:rPr>
          <w:lang w:val="pt-PT"/>
        </w:rPr>
      </w:pPr>
      <w:r w:rsidRPr="008E3C43">
        <w:rPr>
          <w:rFonts w:ascii="Arial" w:eastAsia="Arial" w:hAnsi="Arial" w:cs="Arial"/>
          <w:b/>
          <w:bCs/>
          <w:color w:val="C8962E"/>
          <w:sz w:val="20"/>
          <w:szCs w:val="20"/>
          <w:lang w:val="pt-PT"/>
        </w:rPr>
        <w:t>COMUNICADO OFICIAL CONJUNTO</w:t>
      </w:r>
    </w:p>
    <w:p w14:paraId="1465AF5F" w14:textId="77777777" w:rsidR="001E65EB" w:rsidRPr="008E3C43" w:rsidRDefault="001E65EB">
      <w:pPr>
        <w:pBdr>
          <w:bottom w:val="single" w:sz="6" w:space="1" w:color="C8962E"/>
        </w:pBdr>
        <w:rPr>
          <w:lang w:val="pt-PT"/>
        </w:rPr>
      </w:pPr>
    </w:p>
    <w:p w14:paraId="1C057F9E" w14:textId="77777777" w:rsidR="001E65EB" w:rsidRPr="008E3C43" w:rsidRDefault="001E65EB">
      <w:pPr>
        <w:spacing w:after="100"/>
        <w:rPr>
          <w:lang w:val="pt-PT"/>
        </w:rPr>
      </w:pPr>
    </w:p>
    <w:p w14:paraId="19FD9B68" w14:textId="77777777" w:rsidR="001E65EB" w:rsidRPr="008E3C43" w:rsidRDefault="00607761">
      <w:pPr>
        <w:spacing w:before="80" w:after="80"/>
        <w:jc w:val="center"/>
        <w:rPr>
          <w:lang w:val="pt-PT"/>
        </w:rPr>
      </w:pPr>
      <w:r w:rsidRPr="008E3C43">
        <w:rPr>
          <w:rFonts w:ascii="Arial" w:eastAsia="Arial" w:hAnsi="Arial" w:cs="Arial"/>
          <w:b/>
          <w:bCs/>
          <w:color w:val="006838"/>
          <w:sz w:val="40"/>
          <w:szCs w:val="40"/>
          <w:lang w:val="pt-PT"/>
        </w:rPr>
        <w:t>Auditoria fiscal simultânea liderada pela CEDEAO</w:t>
      </w:r>
    </w:p>
    <w:p w14:paraId="313F9171" w14:textId="77777777" w:rsidR="001E65EB" w:rsidRPr="008E3C43" w:rsidRDefault="00607761">
      <w:pPr>
        <w:spacing w:after="80"/>
        <w:jc w:val="center"/>
        <w:rPr>
          <w:lang w:val="pt-PT"/>
        </w:rPr>
      </w:pPr>
      <w:r w:rsidRPr="008E3C43">
        <w:rPr>
          <w:rFonts w:ascii="Arial" w:eastAsia="Arial" w:hAnsi="Arial" w:cs="Arial"/>
          <w:color w:val="C8962E"/>
          <w:sz w:val="28"/>
          <w:szCs w:val="28"/>
          <w:lang w:val="pt-PT"/>
        </w:rPr>
        <w:t>República da Libéria e República da Serra Leoa</w:t>
      </w:r>
    </w:p>
    <w:p w14:paraId="6EBB596A" w14:textId="77777777" w:rsidR="001E65EB" w:rsidRPr="008E3C43" w:rsidRDefault="00607761">
      <w:pPr>
        <w:spacing w:after="200"/>
        <w:jc w:val="center"/>
        <w:rPr>
          <w:lang w:val="pt-PT"/>
        </w:rPr>
      </w:pPr>
      <w:r w:rsidRPr="008E3C43">
        <w:rPr>
          <w:i/>
          <w:iCs/>
          <w:color w:val="4A4A4A"/>
          <w:sz w:val="21"/>
          <w:szCs w:val="21"/>
          <w:lang w:val="pt-PT"/>
        </w:rPr>
        <w:t>Uma iniciativa de cooperação fiscal regional no âmbito da CEDEAO</w:t>
      </w:r>
    </w:p>
    <w:p w14:paraId="24622EA5" w14:textId="77777777" w:rsidR="001E65EB" w:rsidRPr="008E3C43" w:rsidRDefault="001E65EB">
      <w:pPr>
        <w:pBdr>
          <w:bottom w:val="single" w:sz="8" w:space="1" w:color="006838"/>
        </w:pBdr>
        <w:rPr>
          <w:lang w:val="pt-PT"/>
        </w:rPr>
      </w:pPr>
    </w:p>
    <w:p w14:paraId="65A44296" w14:textId="77777777" w:rsidR="001E65EB" w:rsidRPr="008E3C43" w:rsidRDefault="001E65EB">
      <w:pPr>
        <w:spacing w:after="120"/>
        <w:rPr>
          <w:lang w:val="pt-PT"/>
        </w:rPr>
      </w:pP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6560"/>
      </w:tblGrid>
      <w:tr w:rsidR="001E65EB" w:rsidRPr="008E3C43" w14:paraId="1F40D90B" w14:textId="77777777">
        <w:tc>
          <w:tcPr>
            <w:tcW w:w="280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006838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699B5BBE" w14:textId="77777777" w:rsidR="001E65EB" w:rsidRDefault="00607761"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Autoridade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emissora</w:t>
            </w:r>
            <w:proofErr w:type="spellEnd"/>
          </w:p>
        </w:tc>
        <w:tc>
          <w:tcPr>
            <w:tcW w:w="656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FDF6E3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081B6D68" w14:textId="105EFC57" w:rsidR="001E65EB" w:rsidRPr="008E3C43" w:rsidRDefault="00607761">
            <w:pPr>
              <w:rPr>
                <w:lang w:val="pt-PT"/>
              </w:rPr>
            </w:pPr>
            <w:r w:rsidRPr="008E3C43">
              <w:rPr>
                <w:sz w:val="20"/>
                <w:szCs w:val="20"/>
                <w:lang w:val="pt-PT"/>
              </w:rPr>
              <w:t xml:space="preserve">Comissão da CEDEAO — </w:t>
            </w:r>
            <w:r w:rsidRPr="00607761">
              <w:rPr>
                <w:sz w:val="20"/>
                <w:szCs w:val="20"/>
                <w:lang w:val="pt-PT"/>
              </w:rPr>
              <w:t>Direção da União Aduaneira e da Fiscalidade</w:t>
            </w:r>
          </w:p>
        </w:tc>
      </w:tr>
      <w:tr w:rsidR="001E65EB" w:rsidRPr="008E3C43" w14:paraId="21F0ADF3" w14:textId="77777777">
        <w:tc>
          <w:tcPr>
            <w:tcW w:w="280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006838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15D33F8F" w14:textId="77777777" w:rsidR="001E65EB" w:rsidRDefault="00607761"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Estados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participantes</w:t>
            </w:r>
            <w:proofErr w:type="spellEnd"/>
          </w:p>
        </w:tc>
        <w:tc>
          <w:tcPr>
            <w:tcW w:w="656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FDF6E3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643A0C24" w14:textId="77777777" w:rsidR="001E65EB" w:rsidRPr="008E3C43" w:rsidRDefault="00607761">
            <w:pPr>
              <w:rPr>
                <w:lang w:val="pt-PT"/>
              </w:rPr>
            </w:pPr>
            <w:r w:rsidRPr="008E3C43">
              <w:rPr>
                <w:sz w:val="20"/>
                <w:szCs w:val="20"/>
                <w:lang w:val="pt-PT"/>
              </w:rPr>
              <w:t>República da Libéria  |  República da Serra Leoa</w:t>
            </w:r>
          </w:p>
        </w:tc>
      </w:tr>
      <w:tr w:rsidR="001E65EB" w14:paraId="72506DB1" w14:textId="77777777">
        <w:tc>
          <w:tcPr>
            <w:tcW w:w="280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006838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294E1A32" w14:textId="77777777" w:rsidR="001E65EB" w:rsidRDefault="00607761"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Parceiro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técnico</w:t>
            </w:r>
            <w:proofErr w:type="spellEnd"/>
          </w:p>
        </w:tc>
        <w:tc>
          <w:tcPr>
            <w:tcW w:w="656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FDF6E3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344FBE9D" w14:textId="77777777" w:rsidR="001E65EB" w:rsidRDefault="00607761">
            <w:r>
              <w:rPr>
                <w:sz w:val="20"/>
                <w:szCs w:val="20"/>
              </w:rPr>
              <w:t xml:space="preserve">South Centre, </w:t>
            </w:r>
            <w:proofErr w:type="spellStart"/>
            <w:r>
              <w:rPr>
                <w:sz w:val="20"/>
                <w:szCs w:val="20"/>
              </w:rPr>
              <w:t>Genebra</w:t>
            </w:r>
            <w:proofErr w:type="spellEnd"/>
          </w:p>
        </w:tc>
      </w:tr>
      <w:tr w:rsidR="001E65EB" w:rsidRPr="008E3C43" w14:paraId="58E1A04C" w14:textId="77777777">
        <w:tc>
          <w:tcPr>
            <w:tcW w:w="280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006838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128D0548" w14:textId="77777777" w:rsidR="001E65EB" w:rsidRDefault="00607761"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Base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jurídica</w:t>
            </w:r>
            <w:proofErr w:type="spellEnd"/>
          </w:p>
        </w:tc>
        <w:tc>
          <w:tcPr>
            <w:tcW w:w="656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FDF6E3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471056E0" w14:textId="77777777" w:rsidR="001E65EB" w:rsidRPr="008E3C43" w:rsidRDefault="00607761">
            <w:pPr>
              <w:rPr>
                <w:lang w:val="pt-PT"/>
              </w:rPr>
            </w:pPr>
            <w:r w:rsidRPr="008E3C43">
              <w:rPr>
                <w:sz w:val="20"/>
                <w:szCs w:val="20"/>
                <w:lang w:val="pt-PT"/>
              </w:rPr>
              <w:t>Ato Complementar da CEDEAO sobre Assistência Administrativa Mútua em Matéria Fiscal</w:t>
            </w:r>
          </w:p>
        </w:tc>
      </w:tr>
      <w:tr w:rsidR="001E65EB" w:rsidRPr="008E3C43" w14:paraId="62A4398B" w14:textId="77777777">
        <w:tc>
          <w:tcPr>
            <w:tcW w:w="280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006838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62CF640A" w14:textId="77777777" w:rsidR="001E65EB" w:rsidRDefault="00607761"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Tipo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iniciativa</w:t>
            </w:r>
            <w:proofErr w:type="spellEnd"/>
          </w:p>
        </w:tc>
        <w:tc>
          <w:tcPr>
            <w:tcW w:w="656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FDF6E3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493DCB11" w14:textId="77777777" w:rsidR="001E65EB" w:rsidRPr="008E3C43" w:rsidRDefault="00607761">
            <w:pPr>
              <w:rPr>
                <w:lang w:val="pt-PT"/>
              </w:rPr>
            </w:pPr>
            <w:r w:rsidRPr="008E3C43">
              <w:rPr>
                <w:sz w:val="20"/>
                <w:szCs w:val="20"/>
                <w:lang w:val="pt-PT"/>
              </w:rPr>
              <w:t>Auditoria Fiscal Simultânea (STA) Piloto</w:t>
            </w:r>
          </w:p>
        </w:tc>
      </w:tr>
      <w:tr w:rsidR="001E65EB" w14:paraId="3A46EC3D" w14:textId="77777777">
        <w:tc>
          <w:tcPr>
            <w:tcW w:w="280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006838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514078B0" w14:textId="77777777" w:rsidR="001E65EB" w:rsidRDefault="00607761"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Data do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anúncio</w:t>
            </w:r>
            <w:proofErr w:type="spellEnd"/>
          </w:p>
        </w:tc>
        <w:tc>
          <w:tcPr>
            <w:tcW w:w="6560" w:type="dxa"/>
            <w:tcBorders>
              <w:top w:val="single" w:sz="4" w:space="0" w:color="C8962E"/>
              <w:left w:val="single" w:sz="4" w:space="0" w:color="C8962E"/>
              <w:bottom w:val="single" w:sz="4" w:space="0" w:color="C8962E"/>
              <w:right w:val="single" w:sz="4" w:space="0" w:color="C8962E"/>
            </w:tcBorders>
            <w:shd w:val="clear" w:color="auto" w:fill="FDF6E3"/>
            <w:tcMar>
              <w:top w:w="100" w:type="dxa"/>
              <w:left w:w="160" w:type="dxa"/>
              <w:bottom w:w="100" w:type="dxa"/>
              <w:right w:w="100" w:type="dxa"/>
            </w:tcMar>
            <w:vAlign w:val="center"/>
          </w:tcPr>
          <w:p w14:paraId="3162E70F" w14:textId="77777777" w:rsidR="001E65EB" w:rsidRDefault="00607761">
            <w:r>
              <w:rPr>
                <w:sz w:val="20"/>
                <w:szCs w:val="20"/>
              </w:rPr>
              <w:t>Abril de 2026</w:t>
            </w:r>
          </w:p>
        </w:tc>
      </w:tr>
    </w:tbl>
    <w:p w14:paraId="4DE1A611" w14:textId="77777777" w:rsidR="001E65EB" w:rsidRDefault="001E65EB">
      <w:pPr>
        <w:spacing w:after="280"/>
      </w:pPr>
    </w:p>
    <w:p w14:paraId="64ACC612" w14:textId="77777777" w:rsidR="001E65EB" w:rsidRDefault="00607761">
      <w:pPr>
        <w:pBdr>
          <w:bottom w:val="single" w:sz="6" w:space="4" w:color="C8962E"/>
        </w:pBdr>
        <w:spacing w:before="280" w:after="120"/>
      </w:pPr>
      <w:r>
        <w:rPr>
          <w:rFonts w:ascii="Arial" w:eastAsia="Arial" w:hAnsi="Arial" w:cs="Arial"/>
          <w:b/>
          <w:bCs/>
          <w:color w:val="006838"/>
        </w:rPr>
        <w:t>1. ANTECEDENTES E CONTEXTO</w:t>
      </w:r>
    </w:p>
    <w:p w14:paraId="53378FF5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A agenda de integração da África Ocidental exige não só a livre circulação de bens e pessoas, mas também a integridade dos sistemas fiscais dos Estados-Membros. A evasão e a fraude fiscais por parte de empresas multinacionais que operam na região da CEDEAO privam os governos de receitas vitais necessárias para financiar serviços públicos, infraestruturas e desenvolvimento sustentável.</w:t>
      </w:r>
    </w:p>
    <w:p w14:paraId="159A87AB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 xml:space="preserve">Em resposta a este desafio comum, a </w:t>
      </w:r>
      <w:hyperlink r:id="rId10">
        <w:r w:rsidRPr="008E3C43">
          <w:rPr>
            <w:color w:val="0563C1"/>
            <w:u w:val="single"/>
            <w:lang w:val="pt-PT"/>
          </w:rPr>
          <w:t>Comunidade Económica dos Estados da África Ocidental (CEDEAO)</w:t>
        </w:r>
      </w:hyperlink>
      <w:r w:rsidRPr="008E3C43">
        <w:rPr>
          <w:lang w:val="pt-PT"/>
        </w:rPr>
        <w:t>,</w:t>
      </w:r>
      <w:hyperlink r:id="rId11">
        <w:r w:rsidRPr="008E3C43">
          <w:rPr>
            <w:color w:val="0563C1"/>
            <w:u w:val="single"/>
            <w:lang w:val="pt-PT"/>
          </w:rPr>
          <w:t xml:space="preserve"> www.ecowas.int</w:t>
        </w:r>
      </w:hyperlink>
      <w:r w:rsidRPr="008E3C43">
        <w:rPr>
          <w:lang w:val="pt-PT"/>
        </w:rPr>
        <w:t>, estabeleceu uma arquitetura jurídica abrangente para a cooperação fiscal regional. No centro desta arquitetura está o Ato Suplementar da CEDEAO sobre Assistência Administrativa Mútua em Matéria Fiscal,</w:t>
      </w:r>
      <w:hyperlink r:id="rId12">
        <w:r w:rsidRPr="008E3C43">
          <w:rPr>
            <w:color w:val="0563C1"/>
            <w:u w:val="single"/>
            <w:lang w:val="pt-PT"/>
          </w:rPr>
          <w:t xml:space="preserve"> https://ecowas.int/publication/regional-tax-directives/</w:t>
        </w:r>
      </w:hyperlink>
      <w:r w:rsidRPr="008E3C43">
        <w:rPr>
          <w:lang w:val="pt-PT"/>
        </w:rPr>
        <w:t>, que autoriza os Estados-Membros a realizar auditorias conjuntas e simultâneas a contribuintes com operações transfronteiriças e a partilhar as informações necessárias para a determinação precisa das obrigações fiscais.</w:t>
      </w:r>
    </w:p>
    <w:p w14:paraId="6453608B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Com base neste quadro, a Direção da União Aduaneira e Fiscal da Comissão da CEDEAO lançou um programa-piloto de Auditoria Fiscal Simultânea (STA), começando com um exercício bilateral realizado conjuntamente pela Autoridade Fiscal da Libéria (LRA) e pela Autoridade Fiscal Nacional da Serra Leoa (NRA). Este programa-piloto foi concebido para servir de modelo para uma implementação regional mais ampla.</w:t>
      </w:r>
    </w:p>
    <w:p w14:paraId="6DABA1E4" w14:textId="77777777" w:rsidR="001E65EB" w:rsidRPr="008E3C43" w:rsidRDefault="00607761">
      <w:pPr>
        <w:pBdr>
          <w:bottom w:val="single" w:sz="6" w:space="4" w:color="C8962E"/>
        </w:pBdr>
        <w:spacing w:before="280" w:after="120"/>
        <w:rPr>
          <w:lang w:val="pt-PT"/>
        </w:rPr>
      </w:pPr>
      <w:r w:rsidRPr="008E3C43">
        <w:rPr>
          <w:rFonts w:ascii="Arial" w:eastAsia="Arial" w:hAnsi="Arial" w:cs="Arial"/>
          <w:b/>
          <w:bCs/>
          <w:color w:val="006838"/>
          <w:lang w:val="pt-PT"/>
        </w:rPr>
        <w:t>2. SOBRE A INSPEÇÃO FISCAL SIMULTÂNEA</w:t>
      </w:r>
    </w:p>
    <w:p w14:paraId="6C6E8928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 xml:space="preserve">Uma Auditoria Fiscal Simultânea (STE) é um instrumento de administração fiscal reconhecido internacionalmente, ao abrigo do qual duas ou mais autoridades fiscais, de forma independente, mas simultânea e coordenada, examinam as questões fiscais de contribuintes de interesse comum ou relacionado. O objetivo é detetar e combater a evasão fiscal transfronteiriça, o abuso de preços de transferência e os acordos de transferência artificial de lucros que não podem ser eficazmente </w:t>
      </w:r>
      <w:r w:rsidRPr="008E3C43">
        <w:rPr>
          <w:lang w:val="pt-PT"/>
        </w:rPr>
        <w:lastRenderedPageBreak/>
        <w:t>abordados por uma única administração fiscal a agir isoladamente. As STE revelaram-se também muito eficazes na prevenção de litígios, reforçando assim a segurança fiscal, reduzindo os riscos de dupla tributação, aumentando a confiança dos investidores e impulsionando o comércio transfronteiriço e os fluxos de investimento.</w:t>
      </w:r>
    </w:p>
    <w:p w14:paraId="6790C1EF" w14:textId="77777777" w:rsidR="001E65EB" w:rsidRPr="008E3C43" w:rsidRDefault="001E65EB">
      <w:pPr>
        <w:spacing w:before="80" w:after="100"/>
        <w:jc w:val="both"/>
        <w:rPr>
          <w:lang w:val="pt-PT"/>
        </w:rPr>
      </w:pPr>
    </w:p>
    <w:p w14:paraId="376CD826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A STE-piloto liderada pela CEDEAO entre a Libéria e a Serra Leoa, que constituirá um exercício pioneiro em todo o Sul Global, centrar-se-á em empresas com operações substanciais em ambas as jurisdições. A auditoria será realizada em estrita conformidade com a legislação nacional aplicável e com o Ato Suplementar da CEDEAO, sendo os resultados e conclusões trocados através dos canais estabelecidos de cooperação entre as autoridades competentes.</w:t>
      </w:r>
    </w:p>
    <w:p w14:paraId="65ACF9FA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As principais características do projeto-piloto incluem:</w:t>
      </w:r>
    </w:p>
    <w:p w14:paraId="37FED34C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Seleção coordenada de casos de auditoria com base em perfis de risco partilhados entre a LRA e a NRA.</w:t>
      </w:r>
    </w:p>
    <w:p w14:paraId="45FCDE87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Procedimentos de auditoria paralelos e independentes conduzidos por cada autoridade fiscal no seu próprio território e quadro jurídico.</w:t>
      </w:r>
    </w:p>
    <w:p w14:paraId="10F1CBAB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Intercâmbio estruturado de informações sobre as conclusões da auditoria, tal como previsto na Lei Complementar da CEDEAO sobre Assistência Administrativa Mútua.</w:t>
      </w:r>
    </w:p>
    <w:p w14:paraId="271F24CE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Sessões de revisão conjunta para alinhar as observações sobre transações entre empresas, repartição de lucros e posições fiscais.</w:t>
      </w:r>
    </w:p>
    <w:p w14:paraId="70D3C9D3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Uma avaliação pós-auditoria para documentar o impacto e as lições aprendidas, com vista a uma replicação regional mais ampla.</w:t>
      </w:r>
    </w:p>
    <w:p w14:paraId="07F29F70" w14:textId="77777777" w:rsidR="001E65EB" w:rsidRPr="008E3C43" w:rsidRDefault="00607761">
      <w:pPr>
        <w:pBdr>
          <w:bottom w:val="single" w:sz="6" w:space="4" w:color="C8962E"/>
        </w:pBdr>
        <w:spacing w:before="280" w:after="120"/>
        <w:rPr>
          <w:lang w:val="pt-PT"/>
        </w:rPr>
      </w:pPr>
      <w:r w:rsidRPr="008E3C43">
        <w:rPr>
          <w:rFonts w:ascii="Arial" w:eastAsia="Arial" w:hAnsi="Arial" w:cs="Arial"/>
          <w:b/>
          <w:bCs/>
          <w:color w:val="006838"/>
          <w:lang w:val="pt-PT"/>
        </w:rPr>
        <w:t>3. QUADRO JURÍDICO</w:t>
      </w:r>
    </w:p>
    <w:p w14:paraId="01DB41DD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O projeto-piloto STE deriva a sua autoridade do Ato Suplementar da CEDEAO sobre Assistência Administrativa Mútua em Matéria Fiscal, que estabelece uma base jurídica regional vinculativa para:</w:t>
      </w:r>
    </w:p>
    <w:p w14:paraId="537A7B46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Intercâmbio de informações entre as autoridades fiscais dos Estados-Membros, mediante pedido, de forma espontânea ou automática;</w:t>
      </w:r>
    </w:p>
    <w:p w14:paraId="1CD80AEB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Inspecções fiscais simultâneas e auditorias fiscais conjuntas envolvendo contribuintes sujeitos à jurisdição de dois ou mais Estados-Membros; e</w:t>
      </w:r>
    </w:p>
    <w:p w14:paraId="2727A5BA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Assistência na cobrança de impostos e na notificação de documentos transfronteiriços.</w:t>
      </w:r>
    </w:p>
    <w:p w14:paraId="370D8792" w14:textId="77777777" w:rsidR="001E65EB" w:rsidRPr="008E3C43" w:rsidRDefault="00607761">
      <w:pPr>
        <w:pBdr>
          <w:bottom w:val="single" w:sz="6" w:space="4" w:color="C8962E"/>
        </w:pBdr>
        <w:spacing w:before="280" w:after="120"/>
        <w:rPr>
          <w:lang w:val="pt-PT"/>
        </w:rPr>
      </w:pPr>
      <w:r w:rsidRPr="008E3C43">
        <w:rPr>
          <w:rFonts w:ascii="Arial" w:eastAsia="Arial" w:hAnsi="Arial" w:cs="Arial"/>
          <w:b/>
          <w:bCs/>
          <w:color w:val="006838"/>
          <w:lang w:val="pt-PT"/>
        </w:rPr>
        <w:t>4. PAPEL DO SOUTH CENTRE</w:t>
      </w:r>
    </w:p>
    <w:p w14:paraId="1D16ABF5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 xml:space="preserve">O </w:t>
      </w:r>
      <w:hyperlink r:id="rId13">
        <w:r w:rsidRPr="008E3C43">
          <w:rPr>
            <w:color w:val="0563C1"/>
            <w:u w:val="single"/>
            <w:lang w:val="pt-PT"/>
          </w:rPr>
          <w:t>South Centre</w:t>
        </w:r>
      </w:hyperlink>
      <w:r w:rsidRPr="008E3C43">
        <w:rPr>
          <w:lang w:val="pt-PT"/>
        </w:rPr>
        <w:t xml:space="preserve">, uma organização intergovernamental de países em desenvolvimento com sede em Genebra, na Suíça, e que conta com </w:t>
      </w:r>
      <w:hyperlink r:id="rId14">
        <w:r w:rsidRPr="008E3C43">
          <w:rPr>
            <w:color w:val="0563C1"/>
            <w:u w:val="single"/>
            <w:lang w:val="pt-PT"/>
          </w:rPr>
          <w:t>a Libéria e a Serra Leoa entre os seus Estados-Membros</w:t>
        </w:r>
      </w:hyperlink>
      <w:r w:rsidRPr="008E3C43">
        <w:rPr>
          <w:lang w:val="pt-PT"/>
        </w:rPr>
        <w:t xml:space="preserve">, está a prestar apoio técnico específico a esta iniciativa. A </w:t>
      </w:r>
      <w:hyperlink r:id="rId15">
        <w:r w:rsidRPr="008E3C43">
          <w:rPr>
            <w:color w:val="0563C1"/>
            <w:u w:val="single"/>
            <w:lang w:val="pt-PT"/>
          </w:rPr>
          <w:t>Iniciativa Fiscal</w:t>
        </w:r>
      </w:hyperlink>
      <w:r w:rsidRPr="008E3C43">
        <w:rPr>
          <w:lang w:val="pt-PT"/>
        </w:rPr>
        <w:t xml:space="preserve"> do South Centre possui amplos conhecimentos especializados e capacidade para apoiar as administrações fiscais dos países em desenvolvimento na conceção e realização de auditorias de preços de transferência, mecanismos de cooperação fiscal internacional e reforço de capacidades.</w:t>
      </w:r>
    </w:p>
    <w:p w14:paraId="09CF8729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No contexto deste projeto-piloto STA, o South Centre fornecerá:</w:t>
      </w:r>
    </w:p>
    <w:p w14:paraId="7980E95D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Orientação técnica sobre a conceção e a metodologia do processo de auditoria simultânea;</w:t>
      </w:r>
    </w:p>
    <w:p w14:paraId="61857AD6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Apoio ao reforço de capacidades para as equipas de auditoria da LRA e da NRA, incluindo em matéria de análise de preços de transferência e da aplicação do princípio da plena concorrência;</w:t>
      </w:r>
    </w:p>
    <w:p w14:paraId="58C64CDE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Facilitação da coordenação entre as duas autoridades fiscais participantes ao longo do ciclo de auditoria; e</w:t>
      </w:r>
    </w:p>
    <w:p w14:paraId="4A7FB46B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Documentação das melhores práticas, resultados e recomendações para a replicação do modelo STA em toda a região da CEDEAO.</w:t>
      </w:r>
    </w:p>
    <w:p w14:paraId="2039498F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 xml:space="preserve">A Comissão da CEDEAO reconhece calorosamente o empenho do South Centre no reforço da governação fiscal nos seus Estados-Membros e manifesta o seu apreço por esta parceria estratégica. </w:t>
      </w:r>
    </w:p>
    <w:p w14:paraId="50C7C0E0" w14:textId="77777777" w:rsidR="001E65EB" w:rsidRPr="008E3C43" w:rsidRDefault="00607761">
      <w:pPr>
        <w:pBdr>
          <w:bottom w:val="single" w:sz="6" w:space="4" w:color="C8962E"/>
        </w:pBdr>
        <w:spacing w:before="280" w:after="120"/>
        <w:rPr>
          <w:lang w:val="pt-PT"/>
        </w:rPr>
      </w:pPr>
      <w:r w:rsidRPr="008E3C43">
        <w:rPr>
          <w:rFonts w:ascii="Arial" w:eastAsia="Arial" w:hAnsi="Arial" w:cs="Arial"/>
          <w:b/>
          <w:bCs/>
          <w:color w:val="006838"/>
          <w:lang w:val="pt-PT"/>
        </w:rPr>
        <w:lastRenderedPageBreak/>
        <w:t>5. IMPORTÂNCIA PARA A REGIÃO DA CEDEAO</w:t>
      </w:r>
    </w:p>
    <w:p w14:paraId="1A3F279F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Esta iniciativa marca um passo fundamental nos esforços da Comissão da CEDEAO para construir uma arquitetura de administração fiscal integrada e eficaz para os seus Estados-Membros. Ao coordenarem os esforços de auditoria transfronteiriços, os Estados-Membros enviam um sinal claro às multinacionais de que os esquemas de transferência de lucros que exploram a integração da CEDEAO serão identificados e combatidos.</w:t>
      </w:r>
    </w:p>
    <w:p w14:paraId="382A3B4E" w14:textId="77777777" w:rsidR="001E65EB" w:rsidRPr="008E3C43" w:rsidRDefault="001E65EB">
      <w:pPr>
        <w:spacing w:before="80" w:after="100"/>
        <w:jc w:val="both"/>
        <w:rPr>
          <w:lang w:val="pt-PT"/>
        </w:rPr>
      </w:pPr>
    </w:p>
    <w:p w14:paraId="473201F1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O projeto-piloto STA entre a Libéria e a Serra Leoa irá:</w:t>
      </w:r>
    </w:p>
    <w:p w14:paraId="648155E3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Gerar experiência prática e capacidade institucional na realização de auditorias simultâneas no âmbito da CEDEAO;</w:t>
      </w:r>
    </w:p>
    <w:p w14:paraId="50C8CF6A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Demonstrar a operacionalização do Ato Suplementar da CEDEAO sobre Assistência Administrativa Mútua, reforçando assim a credibilidade normativa do quadro jurídico regional;</w:t>
      </w:r>
    </w:p>
    <w:p w14:paraId="42C9E934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 xml:space="preserve">Contribuir para uma melhor mobilização de receitas internas tanto na Libéria como na Serra Leoa, apoiando os Objetivos de Desenvolvimento Sustentável (ODS) e a Agenda 2050 da CEDEAO, </w:t>
      </w:r>
      <w:hyperlink r:id="rId16">
        <w:r w:rsidRPr="008E3C43">
          <w:rPr>
            <w:color w:val="0563C1"/>
            <w:u w:val="single"/>
            <w:lang w:val="pt-PT"/>
          </w:rPr>
          <w:t>«https://www.ecowas.int/wp-content/uploads/2022/09/Vision-2050-EN.pdf</w:t>
        </w:r>
      </w:hyperlink>
      <w:r w:rsidRPr="008E3C43">
        <w:rPr>
          <w:lang w:val="pt-PT"/>
        </w:rPr>
        <w:t>»; e</w:t>
      </w:r>
    </w:p>
    <w:p w14:paraId="5704459C" w14:textId="77777777" w:rsidR="001E65EB" w:rsidRPr="008E3C43" w:rsidRDefault="006077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lang w:val="pt-PT"/>
        </w:rPr>
      </w:pPr>
      <w:r w:rsidRPr="008E3C43">
        <w:rPr>
          <w:lang w:val="pt-PT"/>
        </w:rPr>
        <w:t>Servir de modelo replicável para futuros exercícios multilaterais e bilaterais de STA entre outros Estados-Membros da CEDEAO.</w:t>
      </w:r>
    </w:p>
    <w:p w14:paraId="59EF43B8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A Comissão prevê que este projeto-piloto seja o primeiro de uma série de exercícios sistemáticos de STA que irão abranger progressivamente todos os doze Estados-Membros da CEDEAO, estabelecendo, em última instância, um programa regional permanente de auditoria simultânea e conjunta como um pilar permanente da cooperação fiscal da CEDEAO.</w:t>
      </w:r>
    </w:p>
    <w:p w14:paraId="4B05BFB6" w14:textId="77777777" w:rsidR="001E65EB" w:rsidRPr="008E3C43" w:rsidRDefault="00607761">
      <w:pPr>
        <w:pBdr>
          <w:bottom w:val="single" w:sz="6" w:space="4" w:color="C8962E"/>
        </w:pBdr>
        <w:spacing w:before="280" w:after="120"/>
        <w:rPr>
          <w:lang w:val="pt-PT"/>
        </w:rPr>
      </w:pPr>
      <w:r w:rsidRPr="008E3C43">
        <w:rPr>
          <w:rFonts w:ascii="Arial" w:eastAsia="Arial" w:hAnsi="Arial" w:cs="Arial"/>
          <w:b/>
          <w:bCs/>
          <w:color w:val="006838"/>
          <w:lang w:val="pt-PT"/>
        </w:rPr>
        <w:t>6. COMPROMISSO DAS AUTORIDADES PARTICIPANTES</w:t>
      </w:r>
    </w:p>
    <w:p w14:paraId="3698891A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A Autoridade Fiscal da Libéria (LRA) e a Autoridade Fiscal Nacional da Serra Leoa (NRA) reafirmam o seu compromisso com a cooperação fiscal regional como pedra angular de uma administração fiscal interna eficaz. Ambas as autoridades designaram representantes da Autoridade Competente e equipas de auditoria dedicadas a esta iniciativa e estão plenamente empenhadas no processo de coordenação facilitado pela Comissão da CEDEAO e pelo South Centre.</w:t>
      </w:r>
    </w:p>
    <w:p w14:paraId="14D07813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Ambas as administrações fiscais estão empenhadas em realizar a auditoria de forma profissional, justa e respeitosa para com os contribuintes, em conformidade com a respetiva legislação nacional e com os direitos e obrigações consagrados no Ato Suplementar da CEDEAO.</w:t>
      </w:r>
    </w:p>
    <w:p w14:paraId="1C9B2B46" w14:textId="77777777" w:rsidR="001E65EB" w:rsidRPr="008E3C43" w:rsidRDefault="00607761">
      <w:pPr>
        <w:spacing w:before="80" w:after="100"/>
        <w:jc w:val="both"/>
        <w:rPr>
          <w:lang w:val="pt-PT"/>
        </w:rPr>
      </w:pPr>
      <w:r w:rsidRPr="008E3C43">
        <w:rPr>
          <w:lang w:val="pt-PT"/>
        </w:rPr>
        <w:t>Este compromisso renovado destaca os esforços crescentes entre os países da CEDEAO para aprofundar a cooperação na administração fiscal, como parte de estratégias mais amplas para reforçar a governação económica e a integração regional.</w:t>
      </w:r>
    </w:p>
    <w:p w14:paraId="07D7E304" w14:textId="77777777" w:rsidR="001E65EB" w:rsidRPr="008E3C43" w:rsidRDefault="001E65EB">
      <w:pPr>
        <w:pBdr>
          <w:bottom w:val="single" w:sz="10" w:space="1" w:color="C8962E"/>
        </w:pBdr>
        <w:rPr>
          <w:lang w:val="pt-PT"/>
        </w:rPr>
      </w:pPr>
    </w:p>
    <w:p w14:paraId="002CC7FB" w14:textId="77777777" w:rsidR="001E65EB" w:rsidRPr="008E3C43" w:rsidRDefault="001E65EB">
      <w:pPr>
        <w:spacing w:after="120"/>
        <w:rPr>
          <w:lang w:val="pt-PT"/>
        </w:rPr>
      </w:pPr>
    </w:p>
    <w:p w14:paraId="51008C26" w14:textId="77777777" w:rsidR="001E65EB" w:rsidRDefault="00607761">
      <w:pPr>
        <w:spacing w:after="160"/>
        <w:jc w:val="center"/>
      </w:pPr>
      <w:proofErr w:type="spellStart"/>
      <w:r>
        <w:rPr>
          <w:rFonts w:ascii="Arial" w:eastAsia="Arial" w:hAnsi="Arial" w:cs="Arial"/>
          <w:b/>
          <w:bCs/>
          <w:color w:val="006838"/>
          <w:sz w:val="20"/>
          <w:szCs w:val="20"/>
        </w:rPr>
        <w:t>Emitido</w:t>
      </w:r>
      <w:proofErr w:type="spellEnd"/>
      <w:r>
        <w:rPr>
          <w:rFonts w:ascii="Arial" w:eastAsia="Arial" w:hAnsi="Arial" w:cs="Arial"/>
          <w:b/>
          <w:bCs/>
          <w:color w:val="00683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6838"/>
          <w:sz w:val="20"/>
          <w:szCs w:val="20"/>
        </w:rPr>
        <w:t>conjuntamente</w:t>
      </w:r>
      <w:proofErr w:type="spellEnd"/>
      <w:r>
        <w:rPr>
          <w:rFonts w:ascii="Arial" w:eastAsia="Arial" w:hAnsi="Arial" w:cs="Arial"/>
          <w:b/>
          <w:bCs/>
          <w:color w:val="00683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6838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b/>
          <w:bCs/>
          <w:color w:val="006838"/>
          <w:sz w:val="20"/>
          <w:szCs w:val="20"/>
        </w:rPr>
        <w:t>:</w:t>
      </w:r>
    </w:p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0"/>
        <w:gridCol w:w="3120"/>
        <w:gridCol w:w="3120"/>
      </w:tblGrid>
      <w:tr w:rsidR="001E65EB" w:rsidRPr="008E3C43" w14:paraId="7029F1CC" w14:textId="77777777">
        <w:tc>
          <w:tcPr>
            <w:tcW w:w="3120" w:type="dxa"/>
            <w:tcBorders>
              <w:top w:val="single" w:sz="6" w:space="0" w:color="006838"/>
              <w:left w:val="nil"/>
              <w:bottom w:val="single" w:sz="6" w:space="0" w:color="006838"/>
              <w:right w:val="nil"/>
            </w:tcBorders>
            <w:shd w:val="clear" w:color="auto" w:fill="F4F7F4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1D0D6ED7" w14:textId="77777777" w:rsidR="001E65EB" w:rsidRPr="008E3C43" w:rsidRDefault="00607761">
            <w:pPr>
              <w:spacing w:before="40" w:after="40"/>
              <w:jc w:val="center"/>
              <w:rPr>
                <w:lang w:val="pt-PT"/>
              </w:rPr>
            </w:pPr>
            <w:r w:rsidRPr="008E3C43">
              <w:rPr>
                <w:rFonts w:ascii="Arial" w:eastAsia="Arial" w:hAnsi="Arial" w:cs="Arial"/>
                <w:b/>
                <w:bCs/>
                <w:color w:val="006838"/>
                <w:sz w:val="20"/>
                <w:szCs w:val="20"/>
                <w:lang w:val="pt-PT"/>
              </w:rPr>
              <w:t>Comissão da CEDEAO</w:t>
            </w:r>
          </w:p>
          <w:p w14:paraId="2761F896" w14:textId="77777777" w:rsidR="001E65EB" w:rsidRPr="008E3C43" w:rsidRDefault="00607761">
            <w:pPr>
              <w:spacing w:after="40"/>
              <w:jc w:val="center"/>
              <w:rPr>
                <w:lang w:val="pt-PT"/>
              </w:rPr>
            </w:pPr>
            <w:r w:rsidRPr="008E3C43">
              <w:rPr>
                <w:i/>
                <w:iCs/>
                <w:color w:val="4A4A4A"/>
                <w:sz w:val="18"/>
                <w:szCs w:val="18"/>
                <w:lang w:val="pt-PT"/>
              </w:rPr>
              <w:t>Direção da União Aduaneira e Fiscal</w:t>
            </w:r>
          </w:p>
          <w:p w14:paraId="748A5B18" w14:textId="77777777" w:rsidR="001E65EB" w:rsidRDefault="00607761">
            <w:pPr>
              <w:spacing w:after="40"/>
              <w:jc w:val="center"/>
            </w:pPr>
            <w:r>
              <w:rPr>
                <w:sz w:val="18"/>
                <w:szCs w:val="18"/>
              </w:rPr>
              <w:t>Abuja, Nigéria</w:t>
            </w:r>
          </w:p>
          <w:p w14:paraId="7AD5A84B" w14:textId="77777777" w:rsidR="001E65EB" w:rsidRDefault="00607761">
            <w:pPr>
              <w:spacing w:before="80"/>
              <w:jc w:val="center"/>
            </w:pPr>
            <w:r>
              <w:rPr>
                <w:rFonts w:ascii="Arial" w:eastAsia="Arial" w:hAnsi="Arial" w:cs="Arial"/>
                <w:color w:val="C8962E"/>
                <w:sz w:val="18"/>
                <w:szCs w:val="18"/>
              </w:rPr>
              <w:t>________________________</w:t>
            </w:r>
          </w:p>
        </w:tc>
        <w:tc>
          <w:tcPr>
            <w:tcW w:w="3120" w:type="dxa"/>
            <w:tcBorders>
              <w:top w:val="single" w:sz="6" w:space="0" w:color="006838"/>
              <w:left w:val="nil"/>
              <w:bottom w:val="single" w:sz="6" w:space="0" w:color="006838"/>
              <w:right w:val="nil"/>
            </w:tcBorders>
            <w:shd w:val="clear" w:color="auto" w:fill="F4F7F4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71A639C2" w14:textId="77777777" w:rsidR="001E65EB" w:rsidRPr="008E3C43" w:rsidRDefault="00607761">
            <w:pPr>
              <w:spacing w:before="40" w:after="40"/>
              <w:jc w:val="center"/>
              <w:rPr>
                <w:lang w:val="pt-PT"/>
              </w:rPr>
            </w:pPr>
            <w:r w:rsidRPr="008E3C43">
              <w:rPr>
                <w:rFonts w:ascii="Arial" w:eastAsia="Arial" w:hAnsi="Arial" w:cs="Arial"/>
                <w:b/>
                <w:bCs/>
                <w:color w:val="006838"/>
                <w:sz w:val="20"/>
                <w:szCs w:val="20"/>
                <w:lang w:val="pt-PT"/>
              </w:rPr>
              <w:t>Autoridade Fiscal da Libéria (LRA)</w:t>
            </w:r>
          </w:p>
          <w:p w14:paraId="1102B2B4" w14:textId="77777777" w:rsidR="001E65EB" w:rsidRDefault="00607761">
            <w:pPr>
              <w:spacing w:after="40"/>
              <w:jc w:val="center"/>
            </w:pPr>
            <w:proofErr w:type="spellStart"/>
            <w:r>
              <w:rPr>
                <w:i/>
                <w:iCs/>
                <w:color w:val="4A4A4A"/>
                <w:sz w:val="18"/>
                <w:szCs w:val="18"/>
              </w:rPr>
              <w:t>Comissário-Geral</w:t>
            </w:r>
            <w:proofErr w:type="spellEnd"/>
          </w:p>
          <w:p w14:paraId="2F8E542C" w14:textId="77777777" w:rsidR="001E65EB" w:rsidRDefault="00607761">
            <w:pPr>
              <w:spacing w:after="40"/>
              <w:jc w:val="center"/>
            </w:pPr>
            <w:proofErr w:type="spellStart"/>
            <w:r>
              <w:rPr>
                <w:sz w:val="18"/>
                <w:szCs w:val="18"/>
              </w:rPr>
              <w:t>Monróvia</w:t>
            </w:r>
            <w:proofErr w:type="spellEnd"/>
            <w:r>
              <w:rPr>
                <w:sz w:val="18"/>
                <w:szCs w:val="18"/>
              </w:rPr>
              <w:t>, Libéria</w:t>
            </w:r>
          </w:p>
          <w:p w14:paraId="023FD8FB" w14:textId="77777777" w:rsidR="001E65EB" w:rsidRDefault="00607761">
            <w:pPr>
              <w:spacing w:before="80"/>
              <w:jc w:val="center"/>
            </w:pPr>
            <w:r>
              <w:rPr>
                <w:rFonts w:ascii="Arial" w:eastAsia="Arial" w:hAnsi="Arial" w:cs="Arial"/>
                <w:color w:val="C8962E"/>
                <w:sz w:val="18"/>
                <w:szCs w:val="18"/>
              </w:rPr>
              <w:t>________________________</w:t>
            </w:r>
          </w:p>
        </w:tc>
        <w:tc>
          <w:tcPr>
            <w:tcW w:w="3120" w:type="dxa"/>
            <w:tcBorders>
              <w:top w:val="single" w:sz="6" w:space="0" w:color="006838"/>
              <w:left w:val="nil"/>
              <w:bottom w:val="single" w:sz="6" w:space="0" w:color="006838"/>
              <w:right w:val="nil"/>
            </w:tcBorders>
            <w:shd w:val="clear" w:color="auto" w:fill="F4F7F4"/>
            <w:tcMar>
              <w:top w:w="120" w:type="dxa"/>
              <w:left w:w="160" w:type="dxa"/>
              <w:bottom w:w="120" w:type="dxa"/>
              <w:right w:w="160" w:type="dxa"/>
            </w:tcMar>
            <w:vAlign w:val="center"/>
          </w:tcPr>
          <w:p w14:paraId="6673C31D" w14:textId="77777777" w:rsidR="001E65EB" w:rsidRPr="008E3C43" w:rsidRDefault="00607761">
            <w:pPr>
              <w:spacing w:before="40" w:after="40"/>
              <w:jc w:val="center"/>
              <w:rPr>
                <w:lang w:val="pt-PT"/>
              </w:rPr>
            </w:pPr>
            <w:r w:rsidRPr="008E3C43">
              <w:rPr>
                <w:rFonts w:ascii="Arial" w:eastAsia="Arial" w:hAnsi="Arial" w:cs="Arial"/>
                <w:b/>
                <w:bCs/>
                <w:color w:val="006838"/>
                <w:sz w:val="20"/>
                <w:szCs w:val="20"/>
                <w:lang w:val="pt-PT"/>
              </w:rPr>
              <w:t>Autoridade Nacional de Receitas (NRA)</w:t>
            </w:r>
          </w:p>
          <w:p w14:paraId="021116A5" w14:textId="77777777" w:rsidR="001E65EB" w:rsidRPr="008E3C43" w:rsidRDefault="00607761">
            <w:pPr>
              <w:spacing w:after="40"/>
              <w:jc w:val="center"/>
              <w:rPr>
                <w:lang w:val="pt-PT"/>
              </w:rPr>
            </w:pPr>
            <w:r w:rsidRPr="008E3C43">
              <w:rPr>
                <w:i/>
                <w:iCs/>
                <w:color w:val="4A4A4A"/>
                <w:sz w:val="18"/>
                <w:szCs w:val="18"/>
                <w:lang w:val="pt-PT"/>
              </w:rPr>
              <w:t>Comissário-Geral</w:t>
            </w:r>
          </w:p>
          <w:p w14:paraId="649E59A8" w14:textId="77777777" w:rsidR="001E65EB" w:rsidRPr="008E3C43" w:rsidRDefault="00607761">
            <w:pPr>
              <w:spacing w:after="40"/>
              <w:jc w:val="center"/>
              <w:rPr>
                <w:lang w:val="pt-PT"/>
              </w:rPr>
            </w:pPr>
            <w:r w:rsidRPr="008E3C43">
              <w:rPr>
                <w:sz w:val="18"/>
                <w:szCs w:val="18"/>
                <w:lang w:val="pt-PT"/>
              </w:rPr>
              <w:t>Freetown, Serra Leoa</w:t>
            </w:r>
          </w:p>
          <w:p w14:paraId="29E27832" w14:textId="77777777" w:rsidR="001E65EB" w:rsidRPr="008E3C43" w:rsidRDefault="00607761">
            <w:pPr>
              <w:spacing w:before="80"/>
              <w:jc w:val="center"/>
              <w:rPr>
                <w:lang w:val="pt-PT"/>
              </w:rPr>
            </w:pPr>
            <w:r w:rsidRPr="008E3C43">
              <w:rPr>
                <w:rFonts w:ascii="Arial" w:eastAsia="Arial" w:hAnsi="Arial" w:cs="Arial"/>
                <w:color w:val="C8962E"/>
                <w:sz w:val="18"/>
                <w:szCs w:val="18"/>
                <w:lang w:val="pt-PT"/>
              </w:rPr>
              <w:t>________________________</w:t>
            </w:r>
          </w:p>
        </w:tc>
      </w:tr>
    </w:tbl>
    <w:p w14:paraId="142E24EF" w14:textId="77777777" w:rsidR="001E65EB" w:rsidRPr="008E3C43" w:rsidRDefault="001E65EB">
      <w:pPr>
        <w:spacing w:after="200"/>
        <w:rPr>
          <w:lang w:val="pt-PT"/>
        </w:rPr>
      </w:pPr>
    </w:p>
    <w:p w14:paraId="494BA82F" w14:textId="77777777" w:rsidR="001E65EB" w:rsidRPr="008E3C43" w:rsidRDefault="00607761">
      <w:pPr>
        <w:spacing w:after="80"/>
        <w:jc w:val="center"/>
        <w:rPr>
          <w:lang w:val="pt-PT"/>
        </w:rPr>
      </w:pPr>
      <w:r w:rsidRPr="008E3C43">
        <w:rPr>
          <w:rFonts w:ascii="Arial" w:eastAsia="Arial" w:hAnsi="Arial" w:cs="Arial"/>
          <w:b/>
          <w:bCs/>
          <w:color w:val="006838"/>
          <w:sz w:val="20"/>
          <w:szCs w:val="20"/>
          <w:lang w:val="pt-PT"/>
        </w:rPr>
        <w:t xml:space="preserve">Parceiro de Apoio Técnico:  </w:t>
      </w:r>
      <w:r w:rsidRPr="008E3C43">
        <w:rPr>
          <w:i/>
          <w:iCs/>
          <w:color w:val="4A4A4A"/>
          <w:sz w:val="20"/>
          <w:szCs w:val="20"/>
          <w:lang w:val="pt-PT"/>
        </w:rPr>
        <w:t>South Centre, Genebra, Suíça</w:t>
      </w:r>
    </w:p>
    <w:p w14:paraId="767FF839" w14:textId="77777777" w:rsidR="001E65EB" w:rsidRPr="008E3C43" w:rsidRDefault="001E65EB">
      <w:pPr>
        <w:pBdr>
          <w:bottom w:val="single" w:sz="6" w:space="1" w:color="006838"/>
        </w:pBdr>
        <w:rPr>
          <w:lang w:val="pt-PT"/>
        </w:rPr>
      </w:pPr>
    </w:p>
    <w:p w14:paraId="2662AB27" w14:textId="77777777" w:rsidR="001E65EB" w:rsidRPr="008E3C43" w:rsidRDefault="00607761">
      <w:pPr>
        <w:spacing w:before="80" w:after="40"/>
        <w:jc w:val="center"/>
        <w:rPr>
          <w:lang w:val="pt-PT"/>
        </w:rPr>
      </w:pPr>
      <w:r w:rsidRPr="008E3C43">
        <w:rPr>
          <w:i/>
          <w:iCs/>
          <w:color w:val="4A4A4A"/>
          <w:sz w:val="17"/>
          <w:szCs w:val="17"/>
          <w:lang w:val="pt-PT"/>
        </w:rPr>
        <w:t>Para mais informações, contacte a Direção da União Aduaneira e Fiscal da Comissão da CEDEAO,</w:t>
      </w:r>
      <w:hyperlink r:id="rId17">
        <w:r w:rsidRPr="008E3C43">
          <w:rPr>
            <w:i/>
            <w:iCs/>
            <w:color w:val="0563C1"/>
            <w:sz w:val="17"/>
            <w:szCs w:val="17"/>
            <w:u w:val="single"/>
            <w:lang w:val="pt-PT"/>
          </w:rPr>
          <w:t>info@ecowas.int</w:t>
        </w:r>
      </w:hyperlink>
      <w:r w:rsidRPr="008E3C43">
        <w:rPr>
          <w:i/>
          <w:iCs/>
          <w:color w:val="4A4A4A"/>
          <w:sz w:val="17"/>
          <w:szCs w:val="17"/>
          <w:lang w:val="pt-PT"/>
        </w:rPr>
        <w:t xml:space="preserve"> , ou a Autoridade Competente da Autoridade Fiscal da Libéria,</w:t>
      </w:r>
      <w:hyperlink r:id="rId18">
        <w:r w:rsidRPr="008E3C43">
          <w:rPr>
            <w:i/>
            <w:iCs/>
            <w:color w:val="0563C1"/>
            <w:sz w:val="17"/>
            <w:szCs w:val="17"/>
            <w:u w:val="single"/>
            <w:lang w:val="pt-PT"/>
          </w:rPr>
          <w:t>info@lra.gov.lr</w:t>
        </w:r>
      </w:hyperlink>
      <w:r w:rsidRPr="008E3C43">
        <w:rPr>
          <w:i/>
          <w:iCs/>
          <w:color w:val="4A4A4A"/>
          <w:sz w:val="17"/>
          <w:szCs w:val="17"/>
          <w:lang w:val="pt-PT"/>
        </w:rPr>
        <w:t xml:space="preserve"> , ou a Autoridade Nacional de Receitas da Serra Leoa,</w:t>
      </w:r>
      <w:hyperlink r:id="rId19">
        <w:r w:rsidRPr="008E3C43">
          <w:rPr>
            <w:i/>
            <w:iCs/>
            <w:color w:val="0563C1"/>
            <w:sz w:val="17"/>
            <w:szCs w:val="17"/>
            <w:u w:val="single"/>
            <w:lang w:val="pt-PT"/>
          </w:rPr>
          <w:t>Info@nra.gov.sl</w:t>
        </w:r>
      </w:hyperlink>
      <w:r w:rsidRPr="008E3C43">
        <w:rPr>
          <w:i/>
          <w:iCs/>
          <w:color w:val="4A4A4A"/>
          <w:sz w:val="17"/>
          <w:szCs w:val="17"/>
          <w:lang w:val="pt-PT"/>
        </w:rPr>
        <w:t xml:space="preserve"> </w:t>
      </w:r>
    </w:p>
    <w:p w14:paraId="324CC82B" w14:textId="77777777" w:rsidR="001E65EB" w:rsidRPr="008E3C43" w:rsidRDefault="00607761">
      <w:pPr>
        <w:jc w:val="center"/>
        <w:rPr>
          <w:lang w:val="pt-PT"/>
        </w:rPr>
      </w:pPr>
      <w:r w:rsidRPr="008E3C43">
        <w:rPr>
          <w:i/>
          <w:iCs/>
          <w:color w:val="4A4A4A"/>
          <w:sz w:val="17"/>
          <w:szCs w:val="17"/>
          <w:lang w:val="pt-PT"/>
        </w:rPr>
        <w:t>Este anúncio é publicado simultaneamente nos sites oficiais da Autoridade Fiscal da Libéria, da Autoridade Fiscal Nacional da Serra Leoa e do South Centre.</w:t>
      </w:r>
    </w:p>
    <w:sectPr w:rsidR="001E65EB" w:rsidRPr="008E3C43">
      <w:pgSz w:w="11906" w:h="16838"/>
      <w:pgMar w:top="1077" w:right="1259" w:bottom="284" w:left="1259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DBE40EE-1C48-455E-806E-FB4310335E8D}"/>
    <w:embedItalic r:id="rId2" w:fontKey="{35416073-EF79-43E8-A36C-BF0512D2D7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3" w:fontKey="{9CF0EB79-BE8D-4191-9313-0D18772347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95264B-2497-42B8-B825-9D03A1390D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9D5224"/>
    <w:multiLevelType w:val="multilevel"/>
    <w:tmpl w:val="0CA0AB52"/>
    <w:lvl w:ilvl="0">
      <w:start w:val="1"/>
      <w:numFmt w:val="bullet"/>
      <w:lvlText w:val="▸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41768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5EB"/>
    <w:rsid w:val="001E65EB"/>
    <w:rsid w:val="00607761"/>
    <w:rsid w:val="008E3C43"/>
    <w:rsid w:val="00A41D55"/>
    <w:rsid w:val="00CE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BB7B7"/>
  <w15:docId w15:val="{89BF0E60-EF1B-4AB8-BD3C-8CBAE0995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color w:val="1A1A1A"/>
        <w:sz w:val="22"/>
        <w:szCs w:val="22"/>
        <w:lang w:val="e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southcentre.int/" TargetMode="External"/><Relationship Id="rId18" Type="http://schemas.openxmlformats.org/officeDocument/2006/relationships/hyperlink" Target="mailto:info@lra.gov.l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ecowas.int/publication/regional-tax-directives/" TargetMode="External"/><Relationship Id="rId17" Type="http://schemas.openxmlformats.org/officeDocument/2006/relationships/hyperlink" Target="mailto:info@ecowas.in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cowas.int/wp-content/uploads/2022/09/Vision-2050-EN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cowas.in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axinitiative.southcentre.int/" TargetMode="External"/><Relationship Id="rId10" Type="http://schemas.openxmlformats.org/officeDocument/2006/relationships/hyperlink" Target="https://ecowas.int/" TargetMode="External"/><Relationship Id="rId19" Type="http://schemas.openxmlformats.org/officeDocument/2006/relationships/hyperlink" Target="mailto:Info@nra.gov.s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southcentre.int/member-countri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MON+StMOgbpBYyku7B2fMlBh9Q==">CgMxLjA4AHIhMVAtblFPTDJXRERnT2txcUlEb3IxckpZOUxCeDYtVE45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PATF-LINPICO</dc:creator>
  <cp:lastModifiedBy>Darlingston Talery</cp:lastModifiedBy>
  <cp:revision>2</cp:revision>
  <dcterms:created xsi:type="dcterms:W3CDTF">2026-04-20T16:24:00Z</dcterms:created>
  <dcterms:modified xsi:type="dcterms:W3CDTF">2026-04-20T16:24:00Z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0x010100EE76D5BB45D74C4FA57BA7D6BD51A905</vt:lpwstr>
  </property>
  <property fmtid="{D5CDD505-2E9C-101B-9397-08002B2CF9AE}" pid="3" name="GrammarlyDocumentId">
    <vt:lpwstr>97c73bd9-d522-4afe-8501-c37d138a48cf</vt:lpwstr>
  </property>
  <property fmtid="{D5CDD505-2E9C-101B-9397-08002B2CF9AE}" pid="4" name="MediaServiceImageTags">
    <vt:lpwstr>MediaServiceImageTags</vt:lpwstr>
  </property>
</Properties>
</file>